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641"/>
        <w:jc w:val="center"/>
        <w:rPr>
          <w:rFonts w:hint="eastAsia" w:ascii="宋体" w:hAnsi="宋体" w:eastAsia="宋体" w:cs="宋体"/>
          <w:b/>
          <w:bCs/>
          <w:kern w:val="0"/>
          <w:sz w:val="32"/>
          <w:szCs w:val="32"/>
        </w:rPr>
      </w:pPr>
    </w:p>
    <w:p>
      <w:pPr>
        <w:ind w:right="641"/>
        <w:jc w:val="center"/>
        <w:rPr>
          <w:rFonts w:hint="eastAsia" w:ascii="宋体" w:hAnsi="宋体" w:eastAsia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32"/>
        </w:rPr>
        <w:t xml:space="preserve">     渝农商理财有限责任公司</w:t>
      </w:r>
    </w:p>
    <w:p>
      <w:pPr>
        <w:jc w:val="center"/>
        <w:rPr>
          <w:rFonts w:hint="eastAsia" w:ascii="宋体" w:hAnsi="宋体" w:eastAsia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32"/>
        </w:rPr>
        <w:t>渝农商理财江渝财富天添金益进封闭式</w:t>
      </w:r>
    </w:p>
    <w:p>
      <w:pPr>
        <w:jc w:val="center"/>
        <w:rPr>
          <w:rFonts w:hint="eastAsia" w:ascii="宋体" w:hAnsi="宋体" w:eastAsia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32"/>
        </w:rPr>
        <w:t>2021年第51034期理财产品</w:t>
      </w:r>
      <w:r>
        <w:rPr>
          <w:rFonts w:hint="eastAsia" w:ascii="宋体" w:hAnsi="宋体" w:eastAsia="宋体" w:cs="宋体"/>
          <w:b/>
          <w:color w:val="auto"/>
          <w:sz w:val="32"/>
          <w:u w:val="none"/>
        </w:rPr>
        <w:t>发行公告</w:t>
      </w:r>
    </w:p>
    <w:p>
      <w:pPr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尊敬的客户：</w:t>
      </w:r>
    </w:p>
    <w:p>
      <w:pPr>
        <w:ind w:firstLine="435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渝农商理财有限责任公司于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2021年12月24日</w:t>
      </w:r>
      <w:r>
        <w:rPr>
          <w:rFonts w:hint="eastAsia" w:ascii="宋体" w:hAnsi="宋体" w:eastAsia="宋体" w:cs="宋体"/>
          <w:szCs w:val="21"/>
        </w:rPr>
        <w:t>发行</w:t>
      </w:r>
      <w:r>
        <w:rPr>
          <w:rFonts w:hint="eastAsia" w:ascii="宋体" w:hAnsi="宋体" w:eastAsia="宋体" w:cs="宋体"/>
          <w:color w:val="auto"/>
          <w:u w:val="none"/>
        </w:rPr>
        <w:t>渝农商理财江渝财富天添金益进封闭式2021年第51034期理财产品，</w:t>
      </w:r>
      <w:r>
        <w:rPr>
          <w:rFonts w:hint="eastAsia" w:ascii="宋体" w:hAnsi="宋体" w:eastAsia="宋体" w:cs="宋体"/>
          <w:szCs w:val="21"/>
        </w:rPr>
        <w:t>现将要素公布如下：</w:t>
      </w:r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8"/>
        <w:gridCol w:w="63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</w:rPr>
            </w:pPr>
            <w:r>
              <w:rPr>
                <w:rFonts w:hint="eastAsia" w:ascii="宋体" w:hAnsi="宋体" w:eastAsia="宋体" w:cs="宋体"/>
                <w:kern w:val="0"/>
              </w:rPr>
              <w:t>产品名称</w:t>
            </w:r>
          </w:p>
        </w:tc>
        <w:tc>
          <w:tcPr>
            <w:tcW w:w="3727" w:type="pct"/>
          </w:tcPr>
          <w:p>
            <w:pPr>
              <w:spacing w:line="380" w:lineRule="exact"/>
              <w:ind w:right="640"/>
              <w:jc w:val="center"/>
              <w:rPr>
                <w:rFonts w:hint="eastAsia" w:ascii="宋体" w:hAnsi="宋体" w:eastAsia="宋体" w:cs="宋体"/>
                <w:kern w:val="0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渝农商理财江渝财富天添金益进封闭式2021年第51034期理财产品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</w:rPr>
            </w:pPr>
            <w:r>
              <w:rPr>
                <w:rFonts w:hint="eastAsia" w:ascii="宋体" w:hAnsi="宋体" w:eastAsia="宋体" w:cs="宋体"/>
                <w:kern w:val="0"/>
              </w:rPr>
              <w:t>产品代码</w:t>
            </w:r>
          </w:p>
        </w:tc>
        <w:tc>
          <w:tcPr>
            <w:tcW w:w="3727" w:type="pct"/>
          </w:tcPr>
          <w:p>
            <w:pPr>
              <w:spacing w:line="380" w:lineRule="exact"/>
              <w:ind w:right="640"/>
              <w:jc w:val="center"/>
              <w:rPr>
                <w:rFonts w:hint="eastAsia" w:ascii="宋体" w:hAnsi="宋体" w:eastAsia="宋体" w:cs="宋体"/>
                <w:kern w:val="0"/>
              </w:rPr>
            </w:pPr>
            <w:r>
              <w:rPr>
                <w:rFonts w:hint="eastAsia" w:ascii="宋体" w:hAnsi="宋体" w:eastAsia="宋体" w:cs="宋体"/>
                <w:kern w:val="0"/>
              </w:rPr>
              <w:t>21GSGF51034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</w:rPr>
            </w:pPr>
            <w:r>
              <w:rPr>
                <w:rFonts w:hint="eastAsia" w:ascii="宋体" w:hAnsi="宋体" w:eastAsia="宋体" w:cs="宋体"/>
                <w:kern w:val="0"/>
              </w:rPr>
              <w:t>登记编码</w:t>
            </w:r>
          </w:p>
        </w:tc>
        <w:tc>
          <w:tcPr>
            <w:tcW w:w="3727" w:type="pct"/>
          </w:tcPr>
          <w:p>
            <w:pPr>
              <w:spacing w:line="380" w:lineRule="exact"/>
              <w:ind w:right="640"/>
              <w:jc w:val="center"/>
              <w:rPr>
                <w:rFonts w:hint="eastAsia" w:ascii="宋体" w:hAnsi="宋体" w:eastAsia="宋体" w:cs="宋体"/>
                <w:kern w:val="0"/>
              </w:rPr>
            </w:pPr>
            <w:r>
              <w:rPr>
                <w:rFonts w:hint="eastAsia" w:ascii="宋体" w:hAnsi="宋体" w:eastAsia="宋体" w:cs="宋体"/>
                <w:kern w:val="0"/>
              </w:rPr>
              <w:t>Z7002721000231</w:t>
            </w:r>
          </w:p>
          <w:p>
            <w:pPr>
              <w:spacing w:line="380" w:lineRule="exact"/>
              <w:ind w:right="640"/>
              <w:jc w:val="center"/>
              <w:rPr>
                <w:rFonts w:hint="eastAsia" w:ascii="宋体" w:hAnsi="宋体" w:eastAsia="宋体" w:cs="宋体"/>
                <w:kern w:val="0"/>
              </w:rPr>
            </w:pPr>
            <w:r>
              <w:rPr>
                <w:rFonts w:hint="eastAsia" w:ascii="宋体" w:hAnsi="宋体" w:eastAsia="宋体" w:cs="宋体"/>
                <w:kern w:val="0"/>
              </w:rPr>
              <w:t>（可在中国理财网www.chinawealth.com.cn查询产品信息）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</w:rPr>
            </w:pPr>
            <w:r>
              <w:rPr>
                <w:rFonts w:hint="eastAsia" w:ascii="宋体" w:hAnsi="宋体" w:eastAsia="宋体" w:cs="宋体"/>
                <w:kern w:val="0"/>
              </w:rPr>
              <w:t>托管机构</w:t>
            </w:r>
          </w:p>
        </w:tc>
        <w:tc>
          <w:tcPr>
            <w:tcW w:w="3727" w:type="pct"/>
          </w:tcPr>
          <w:p>
            <w:pPr>
              <w:spacing w:line="380" w:lineRule="exact"/>
              <w:ind w:right="640"/>
              <w:jc w:val="center"/>
              <w:rPr>
                <w:rFonts w:hint="eastAsia" w:ascii="宋体" w:hAnsi="宋体" w:eastAsia="宋体" w:cs="宋体"/>
                <w:kern w:val="0"/>
              </w:rPr>
            </w:pPr>
            <w:r>
              <w:rPr>
                <w:rFonts w:hint="eastAsia" w:ascii="宋体" w:hAnsi="宋体" w:eastAsia="宋体" w:cs="宋体"/>
                <w:kern w:val="0"/>
              </w:rPr>
              <w:t>招商银行股份有限公司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</w:rPr>
            </w:pPr>
            <w:r>
              <w:rPr>
                <w:rFonts w:hint="eastAsia" w:ascii="宋体" w:hAnsi="宋体" w:eastAsia="宋体" w:cs="宋体"/>
                <w:kern w:val="0"/>
              </w:rPr>
              <w:t>募集方式</w:t>
            </w:r>
          </w:p>
        </w:tc>
        <w:tc>
          <w:tcPr>
            <w:tcW w:w="3727" w:type="pct"/>
          </w:tcPr>
          <w:p>
            <w:pPr>
              <w:spacing w:line="380" w:lineRule="exact"/>
              <w:ind w:right="640"/>
              <w:jc w:val="center"/>
              <w:rPr>
                <w:rFonts w:hint="eastAsia" w:ascii="宋体" w:hAnsi="宋体" w:eastAsia="宋体" w:cs="宋体"/>
                <w:kern w:val="0"/>
              </w:rPr>
            </w:pPr>
            <w:r>
              <w:rPr>
                <w:rFonts w:hint="eastAsia" w:ascii="宋体" w:hAnsi="宋体" w:eastAsia="宋体" w:cs="宋体"/>
                <w:kern w:val="0"/>
              </w:rPr>
              <w:t>公募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</w:rPr>
            </w:pPr>
            <w:r>
              <w:rPr>
                <w:rFonts w:hint="eastAsia" w:ascii="宋体" w:hAnsi="宋体" w:eastAsia="宋体" w:cs="宋体"/>
                <w:kern w:val="0"/>
              </w:rPr>
              <w:t>运作模式</w:t>
            </w:r>
          </w:p>
        </w:tc>
        <w:tc>
          <w:tcPr>
            <w:tcW w:w="3727" w:type="pct"/>
          </w:tcPr>
          <w:p>
            <w:pPr>
              <w:spacing w:line="380" w:lineRule="exact"/>
              <w:ind w:right="640"/>
              <w:jc w:val="center"/>
              <w:rPr>
                <w:rFonts w:hint="eastAsia" w:ascii="宋体" w:hAnsi="宋体" w:eastAsia="宋体" w:cs="宋体"/>
                <w:kern w:val="0"/>
              </w:rPr>
            </w:pPr>
            <w:r>
              <w:rPr>
                <w:rFonts w:hint="eastAsia" w:ascii="宋体" w:hAnsi="宋体" w:eastAsia="宋体" w:cs="宋体"/>
                <w:kern w:val="0"/>
              </w:rPr>
              <w:t>封闭式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</w:rPr>
            </w:pPr>
            <w:r>
              <w:rPr>
                <w:rFonts w:hint="eastAsia" w:ascii="宋体" w:hAnsi="宋体" w:eastAsia="宋体" w:cs="宋体"/>
                <w:kern w:val="0"/>
              </w:rPr>
              <w:t>投资性质</w:t>
            </w:r>
          </w:p>
        </w:tc>
        <w:tc>
          <w:tcPr>
            <w:tcW w:w="3727" w:type="pct"/>
          </w:tcPr>
          <w:p>
            <w:pPr>
              <w:spacing w:line="380" w:lineRule="exact"/>
              <w:ind w:right="640"/>
              <w:jc w:val="center"/>
              <w:rPr>
                <w:rFonts w:hint="eastAsia" w:ascii="宋体" w:hAnsi="宋体" w:eastAsia="宋体" w:cs="宋体"/>
                <w:kern w:val="0"/>
              </w:rPr>
            </w:pPr>
            <w:r>
              <w:rPr>
                <w:rFonts w:hint="eastAsia" w:ascii="宋体" w:hAnsi="宋体" w:eastAsia="宋体" w:cs="宋体"/>
                <w:kern w:val="0"/>
              </w:rPr>
              <w:t>固定收益类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27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</w:rPr>
            </w:pPr>
            <w:r>
              <w:rPr>
                <w:rFonts w:hint="eastAsia" w:ascii="宋体" w:hAnsi="宋体" w:eastAsia="宋体" w:cs="宋体"/>
                <w:kern w:val="0"/>
              </w:rPr>
              <w:t>风险等级</w:t>
            </w:r>
          </w:p>
        </w:tc>
        <w:tc>
          <w:tcPr>
            <w:tcW w:w="3727" w:type="pct"/>
          </w:tcPr>
          <w:p>
            <w:pPr>
              <w:spacing w:line="380" w:lineRule="exact"/>
              <w:ind w:right="640"/>
              <w:jc w:val="center"/>
              <w:rPr>
                <w:rFonts w:hint="eastAsia" w:ascii="宋体" w:hAnsi="宋体" w:eastAsia="宋体" w:cs="宋体"/>
                <w:kern w:val="0"/>
              </w:rPr>
            </w:pPr>
            <w:r>
              <w:rPr>
                <w:rFonts w:hint="eastAsia" w:ascii="宋体" w:hAnsi="宋体" w:eastAsia="宋体" w:cs="宋体"/>
                <w:kern w:val="0"/>
              </w:rPr>
              <w:t>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</w:rPr>
            </w:pPr>
            <w:r>
              <w:rPr>
                <w:rFonts w:hint="eastAsia" w:ascii="宋体" w:hAnsi="宋体" w:eastAsia="宋体" w:cs="宋体"/>
                <w:kern w:val="0"/>
              </w:rPr>
              <w:t>募集规模</w:t>
            </w:r>
          </w:p>
        </w:tc>
        <w:tc>
          <w:tcPr>
            <w:tcW w:w="3727" w:type="pct"/>
          </w:tcPr>
          <w:p>
            <w:pPr>
              <w:spacing w:line="380" w:lineRule="exact"/>
              <w:ind w:right="640"/>
              <w:jc w:val="center"/>
              <w:rPr>
                <w:rFonts w:hint="eastAsia" w:ascii="宋体" w:hAnsi="宋体" w:eastAsia="宋体" w:cs="宋体"/>
                <w:kern w:val="0"/>
              </w:rPr>
            </w:pPr>
            <w:r>
              <w:rPr>
                <w:rFonts w:hint="eastAsia" w:ascii="宋体" w:hAnsi="宋体" w:eastAsia="宋体" w:cs="宋体"/>
                <w:color w:val="auto"/>
                <w:u w:val="none"/>
              </w:rPr>
              <w:t>388,900,565.00元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</w:rPr>
            </w:pPr>
            <w:r>
              <w:rPr>
                <w:rFonts w:hint="eastAsia" w:ascii="宋体" w:hAnsi="宋体" w:eastAsia="宋体" w:cs="宋体"/>
                <w:kern w:val="0"/>
              </w:rPr>
              <w:t>期限类型</w:t>
            </w:r>
          </w:p>
        </w:tc>
        <w:tc>
          <w:tcPr>
            <w:tcW w:w="3727" w:type="pct"/>
            <w:shd w:val="clear" w:color="auto" w:fill="auto"/>
          </w:tcPr>
          <w:p>
            <w:pPr>
              <w:spacing w:line="380" w:lineRule="exact"/>
              <w:ind w:right="640"/>
              <w:jc w:val="center"/>
              <w:rPr>
                <w:rFonts w:hint="eastAsia" w:ascii="宋体" w:hAnsi="宋体" w:eastAsia="宋体" w:cs="宋体"/>
                <w:kern w:val="0"/>
              </w:rPr>
            </w:pPr>
            <w:r>
              <w:rPr>
                <w:rFonts w:hint="eastAsia" w:ascii="宋体" w:hAnsi="宋体" w:eastAsia="宋体" w:cs="宋体"/>
                <w:kern w:val="0"/>
              </w:rPr>
              <w:t xml:space="preserve"> 1-3 年（含）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</w:rPr>
            </w:pPr>
            <w:r>
              <w:rPr>
                <w:rFonts w:hint="eastAsia" w:ascii="宋体" w:hAnsi="宋体" w:eastAsia="宋体" w:cs="宋体"/>
                <w:kern w:val="0"/>
              </w:rPr>
              <w:t>募集起始日期</w:t>
            </w:r>
          </w:p>
        </w:tc>
        <w:tc>
          <w:tcPr>
            <w:tcW w:w="3727" w:type="pct"/>
          </w:tcPr>
          <w:p>
            <w:pPr>
              <w:spacing w:line="380" w:lineRule="exact"/>
              <w:ind w:right="640"/>
              <w:jc w:val="center"/>
              <w:rPr>
                <w:rFonts w:hint="eastAsia" w:ascii="宋体" w:hAnsi="宋体" w:eastAsia="宋体" w:cs="宋体"/>
                <w:kern w:val="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eastAsia="zh-CN"/>
              </w:rPr>
              <w:t>2021年12月24日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</w:rPr>
            </w:pPr>
            <w:r>
              <w:rPr>
                <w:rFonts w:hint="eastAsia" w:ascii="宋体" w:hAnsi="宋体" w:eastAsia="宋体" w:cs="宋体"/>
                <w:kern w:val="0"/>
              </w:rPr>
              <w:t>募集结束日期</w:t>
            </w:r>
          </w:p>
        </w:tc>
        <w:tc>
          <w:tcPr>
            <w:tcW w:w="3727" w:type="pct"/>
          </w:tcPr>
          <w:p>
            <w:pPr>
              <w:spacing w:line="380" w:lineRule="exact"/>
              <w:ind w:right="640"/>
              <w:jc w:val="center"/>
              <w:rPr>
                <w:rFonts w:hint="default" w:ascii="宋体" w:hAnsi="宋体" w:eastAsia="宋体" w:cs="宋体"/>
                <w:kern w:val="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lang w:eastAsia="zh-CN"/>
              </w:rPr>
              <w:t>2021</w:t>
            </w: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lang w:eastAsia="zh-CN"/>
              </w:rPr>
              <w:t>12</w:t>
            </w: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lang w:eastAsia="zh-CN"/>
              </w:rPr>
              <w:t>28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日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</w:rPr>
            </w:pPr>
            <w:r>
              <w:rPr>
                <w:rFonts w:hint="eastAsia" w:ascii="宋体" w:hAnsi="宋体" w:eastAsia="宋体" w:cs="宋体"/>
                <w:kern w:val="0"/>
              </w:rPr>
              <w:t>产品起始日期</w:t>
            </w:r>
          </w:p>
        </w:tc>
        <w:tc>
          <w:tcPr>
            <w:tcW w:w="3727" w:type="pct"/>
          </w:tcPr>
          <w:p>
            <w:pPr>
              <w:spacing w:line="380" w:lineRule="exact"/>
              <w:ind w:right="640"/>
              <w:jc w:val="center"/>
              <w:rPr>
                <w:rFonts w:hint="eastAsia" w:ascii="宋体" w:hAnsi="宋体" w:eastAsia="宋体" w:cs="宋体"/>
                <w:kern w:val="0"/>
              </w:rPr>
            </w:pPr>
            <w:r>
              <w:rPr>
                <w:rFonts w:hint="eastAsia" w:ascii="宋体" w:hAnsi="宋体" w:eastAsia="宋体" w:cs="宋体"/>
                <w:kern w:val="0"/>
              </w:rPr>
              <w:t>2021年12月29日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</w:rPr>
            </w:pPr>
            <w:r>
              <w:rPr>
                <w:rFonts w:hint="eastAsia" w:ascii="宋体" w:hAnsi="宋体" w:eastAsia="宋体" w:cs="宋体"/>
                <w:kern w:val="0"/>
              </w:rPr>
              <w:t>计划终止日期</w:t>
            </w:r>
          </w:p>
        </w:tc>
        <w:tc>
          <w:tcPr>
            <w:tcW w:w="3727" w:type="pct"/>
          </w:tcPr>
          <w:p>
            <w:pPr>
              <w:spacing w:line="380" w:lineRule="exact"/>
              <w:ind w:right="640"/>
              <w:jc w:val="center"/>
              <w:rPr>
                <w:rFonts w:hint="eastAsia" w:ascii="宋体" w:hAnsi="宋体" w:eastAsia="宋体" w:cs="宋体"/>
                <w:kern w:val="0"/>
              </w:rPr>
            </w:pPr>
            <w:r>
              <w:rPr>
                <w:rFonts w:hint="eastAsia" w:ascii="宋体" w:hAnsi="宋体" w:eastAsia="宋体" w:cs="宋体"/>
                <w:kern w:val="0"/>
              </w:rPr>
              <w:t>2022年12月27日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</w:rPr>
            </w:pPr>
            <w:r>
              <w:rPr>
                <w:rFonts w:hint="eastAsia" w:ascii="宋体" w:hAnsi="宋体" w:eastAsia="宋体" w:cs="宋体"/>
                <w:kern w:val="0"/>
              </w:rPr>
              <w:t>业绩比较基准</w:t>
            </w:r>
          </w:p>
        </w:tc>
        <w:tc>
          <w:tcPr>
            <w:tcW w:w="3727" w:type="pct"/>
          </w:tcPr>
          <w:p>
            <w:pPr>
              <w:spacing w:line="380" w:lineRule="exact"/>
              <w:ind w:right="640"/>
              <w:jc w:val="center"/>
              <w:rPr>
                <w:rFonts w:hint="eastAsia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lang w:val="en-US" w:eastAsia="zh-CN"/>
              </w:rPr>
              <w:t>4.20%</w:t>
            </w:r>
          </w:p>
        </w:tc>
      </w:tr>
    </w:tbl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备注：产品详情参考理财产品说明书。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                                              </w:t>
      </w:r>
    </w:p>
    <w:p>
      <w:pPr>
        <w:ind w:firstLine="5250" w:firstLineChars="25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kern w:val="0"/>
        </w:rPr>
        <w:t>渝农商理财有限责任公司</w:t>
      </w:r>
      <w:r>
        <w:rPr>
          <w:rFonts w:hint="eastAsia" w:ascii="宋体" w:hAnsi="宋体" w:eastAsia="宋体" w:cs="宋体"/>
        </w:rPr>
        <w:t xml:space="preserve">   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                                                  </w:t>
      </w:r>
      <w:r>
        <w:rPr>
          <w:rFonts w:hint="eastAsia" w:ascii="宋体" w:hAnsi="宋体" w:eastAsia="宋体" w:cs="宋体"/>
          <w:color w:val="auto"/>
          <w:u w:val="none"/>
        </w:rPr>
        <w:t xml:space="preserve">2021年12月29日  </w:t>
      </w: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  </w:t>
      </w: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1168A1"/>
    <w:rsid w:val="0006513E"/>
    <w:rsid w:val="0011363C"/>
    <w:rsid w:val="001876D1"/>
    <w:rsid w:val="001C3236"/>
    <w:rsid w:val="00224BD9"/>
    <w:rsid w:val="002A15B2"/>
    <w:rsid w:val="002D6030"/>
    <w:rsid w:val="003E77C5"/>
    <w:rsid w:val="003F030C"/>
    <w:rsid w:val="004860C9"/>
    <w:rsid w:val="00555B9E"/>
    <w:rsid w:val="005C56F7"/>
    <w:rsid w:val="007C1A89"/>
    <w:rsid w:val="00A44B35"/>
    <w:rsid w:val="00B5169F"/>
    <w:rsid w:val="00C4594E"/>
    <w:rsid w:val="00C473EC"/>
    <w:rsid w:val="00C87B06"/>
    <w:rsid w:val="00D9561C"/>
    <w:rsid w:val="00E243AB"/>
    <w:rsid w:val="00E31718"/>
    <w:rsid w:val="00E85975"/>
    <w:rsid w:val="00F865B7"/>
    <w:rsid w:val="00FC71DE"/>
    <w:rsid w:val="031F64A8"/>
    <w:rsid w:val="0716186A"/>
    <w:rsid w:val="09736325"/>
    <w:rsid w:val="0EFA29F2"/>
    <w:rsid w:val="10ED66E2"/>
    <w:rsid w:val="18A96E94"/>
    <w:rsid w:val="1C8C487A"/>
    <w:rsid w:val="204F3A8B"/>
    <w:rsid w:val="22F44818"/>
    <w:rsid w:val="234C3E1B"/>
    <w:rsid w:val="277145CF"/>
    <w:rsid w:val="2ADA5E13"/>
    <w:rsid w:val="2B1745F9"/>
    <w:rsid w:val="2F837442"/>
    <w:rsid w:val="33157B20"/>
    <w:rsid w:val="33803116"/>
    <w:rsid w:val="3E1168A1"/>
    <w:rsid w:val="4568440F"/>
    <w:rsid w:val="4EFD5185"/>
    <w:rsid w:val="518F5B6E"/>
    <w:rsid w:val="56EF70C3"/>
    <w:rsid w:val="59D17159"/>
    <w:rsid w:val="632E1F55"/>
    <w:rsid w:val="68562DC2"/>
    <w:rsid w:val="6A1F4F7A"/>
    <w:rsid w:val="6B9F118C"/>
    <w:rsid w:val="6CA847BD"/>
    <w:rsid w:val="6E523524"/>
    <w:rsid w:val="7F59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uiPriority w:val="0"/>
    <w:pPr>
      <w:jc w:val="left"/>
    </w:pPr>
  </w:style>
  <w:style w:type="paragraph" w:styleId="3">
    <w:name w:val="Balloon Text"/>
    <w:basedOn w:val="1"/>
    <w:link w:val="15"/>
    <w:qFormat/>
    <w:uiPriority w:val="0"/>
    <w:rPr>
      <w:sz w:val="18"/>
      <w:szCs w:val="18"/>
    </w:rPr>
  </w:style>
  <w:style w:type="paragraph" w:styleId="4">
    <w:name w:val="footer"/>
    <w:basedOn w:val="1"/>
    <w:link w:val="12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qFormat/>
    <w:uiPriority w:val="0"/>
    <w:rPr>
      <w:b/>
      <w:bCs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uiPriority w:val="0"/>
    <w:rPr>
      <w:sz w:val="21"/>
      <w:szCs w:val="21"/>
    </w:rPr>
  </w:style>
  <w:style w:type="character" w:customStyle="1" w:styleId="11">
    <w:name w:val="页眉 Char"/>
    <w:basedOn w:val="9"/>
    <w:link w:val="5"/>
    <w:uiPriority w:val="0"/>
    <w:rPr>
      <w:kern w:val="2"/>
      <w:sz w:val="18"/>
      <w:szCs w:val="18"/>
    </w:rPr>
  </w:style>
  <w:style w:type="character" w:customStyle="1" w:styleId="12">
    <w:name w:val="页脚 Char"/>
    <w:basedOn w:val="9"/>
    <w:link w:val="4"/>
    <w:qFormat/>
    <w:uiPriority w:val="0"/>
    <w:rPr>
      <w:kern w:val="2"/>
      <w:sz w:val="18"/>
      <w:szCs w:val="18"/>
    </w:rPr>
  </w:style>
  <w:style w:type="character" w:customStyle="1" w:styleId="13">
    <w:name w:val="批注文字 Char"/>
    <w:basedOn w:val="9"/>
    <w:link w:val="2"/>
    <w:uiPriority w:val="0"/>
    <w:rPr>
      <w:kern w:val="2"/>
      <w:sz w:val="21"/>
      <w:szCs w:val="24"/>
    </w:rPr>
  </w:style>
  <w:style w:type="character" w:customStyle="1" w:styleId="14">
    <w:name w:val="批注主题 Char"/>
    <w:basedOn w:val="13"/>
    <w:link w:val="6"/>
    <w:qFormat/>
    <w:uiPriority w:val="0"/>
    <w:rPr>
      <w:b/>
      <w:bCs/>
      <w:kern w:val="2"/>
      <w:sz w:val="21"/>
      <w:szCs w:val="24"/>
    </w:rPr>
  </w:style>
  <w:style w:type="character" w:customStyle="1" w:styleId="15">
    <w:name w:val="批注框文本 Char"/>
    <w:basedOn w:val="9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 Inc.</Company>
  <Pages>1</Pages>
  <Words>82</Words>
  <Characters>468</Characters>
  <Lines>3</Lines>
  <Paragraphs>1</Paragraphs>
  <TotalTime>1</TotalTime>
  <ScaleCrop>false</ScaleCrop>
  <LinksUpToDate>false</LinksUpToDate>
  <CharactersWithSpaces>549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2020-09-28T03:35:00Z</dcterms:created>
  <dc:creator>李晓璐</dc:creator>
  <cp:lastModifiedBy>赵玲利</cp:lastModifiedBy>
  <cp:lastPrinted>2021-01-29T09:21:00Z</cp:lastPrinted>
  <dcterms:modified xsi:type="dcterms:W3CDTF">2021-12-29T02:35:27Z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47F8D9749F0F42CBAA8F78815DE9AA4B</vt:lpwstr>
  </property>
</Properties>
</file>